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4.png" ContentType="image/png"/>
  <Override PartName="/word/media/rId35.png" ContentType="image/png"/>
  <Override PartName="/word/media/rId23.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MJ</w:t>
      </w:r>
      <w:r>
        <w:t xml:space="preserve"> </w:t>
      </w:r>
      <w:r>
        <w:t xml:space="preserve">Noonan</w:t>
      </w:r>
      <m:oMath>
        <m:sSup>
          <m:e>
            <m:r>
              <m:t>​</m:t>
            </m:r>
          </m:e>
          <m:sup>
            <m:r>
              <m:t>1</m:t>
            </m:r>
          </m:sup>
        </m:sSup>
      </m:oMath>
      <w:r>
        <w:t xml:space="preserve">,</w:t>
      </w:r>
      <w:r>
        <w:t xml:space="preserve"> </w:t>
      </w:r>
      <w:r>
        <w:t xml:space="preserve">S</w:t>
      </w:r>
      <w:r>
        <w:t xml:space="preserve"> </w:t>
      </w:r>
      <w:r>
        <w:t xml:space="preserve">Mezzini</w:t>
      </w:r>
      <m:oMath>
        <m:sSup>
          <m:e>
            <m:r>
              <m:t>​</m:t>
            </m:r>
          </m:e>
          <m:sup>
            <m:r>
              <m:t>1</m:t>
            </m:r>
          </m:sup>
        </m:sSup>
      </m:oMath>
      <w:r>
        <w:t xml:space="preserve">,</w:t>
      </w:r>
      <w:r>
        <w:t xml:space="preserve"> </w:t>
      </w:r>
      <w:r>
        <w:t xml:space="preserve">CH</w:t>
      </w:r>
      <w:r>
        <w:t xml:space="preserve"> </w:t>
      </w:r>
      <w:r>
        <w:t xml:space="preserve">Fleming</w:t>
      </w:r>
      <m:oMath>
        <m:sSup>
          <m:e>
            <m:r>
              <m:t>​</m:t>
            </m:r>
          </m:e>
          <m:sup>
            <m:r>
              <m:t>2</m:t>
            </m:r>
            <m:r>
              <m:t>,</m:t>
            </m:r>
            <m:r>
              <m:t>3</m:t>
            </m:r>
          </m:sup>
        </m:sSup>
      </m:oMath>
      <w:r>
        <w:t xml:space="preserve">,</w:t>
      </w:r>
      <w:r>
        <w:t xml:space="preserve"> </w:t>
      </w:r>
      <w:r>
        <w:t xml:space="preserve">JM</w:t>
      </w:r>
      <w:r>
        <w:t xml:space="preserve"> </w:t>
      </w:r>
      <w:r>
        <w:t xml:space="preserve">Calabrese</w:t>
      </w:r>
      <m:oMath>
        <m:sSup>
          <m:e>
            <m:r>
              <m:t>​</m:t>
            </m:r>
          </m:e>
          <m:sup>
            <m:r>
              <m:t>4</m:t>
            </m:r>
            <m:r>
              <m:t>,</m:t>
            </m:r>
            <m:r>
              <m:t>5</m:t>
            </m:r>
            <m:r>
              <m:t>,</m:t>
            </m:r>
            <m:r>
              <m:t>6</m:t>
            </m:r>
          </m:sup>
        </m:sSup>
      </m:oMath>
      <w:r>
        <w:t xml:space="preserve">,</w:t>
      </w:r>
      <w:r>
        <w:t xml:space="preserve"> </w:t>
      </w:r>
      <w:r>
        <w:t xml:space="preserve">EP</w:t>
      </w:r>
      <w:r>
        <w:t xml:space="preserve"> </w:t>
      </w:r>
      <w:r>
        <w:t xml:space="preserve">Medici</w:t>
      </w:r>
      <m:oMath>
        <m:sSup>
          <m:e>
            <m:r>
              <m:t>​</m:t>
            </m:r>
          </m:e>
          <m:sup>
            <m:r>
              <m:t>7</m:t>
            </m:r>
            <m:r>
              <m:t>*</m:t>
            </m:r>
          </m:sup>
        </m:sSup>
      </m:oMath>
    </w:p>
    <w:p>
      <w:pPr>
        <w:pStyle w:val="FirstParagraph"/>
      </w:pPr>
    </w:p>
    <w:p>
      <w:pPr>
        <w:pStyle w:val="BodyText"/>
      </w:pPr>
      <w:r>
        <w:t xml:space="preserve">1 – The Irving K. Barber Faculty of Science, The University of British Columbia, Okanagan Campus, 1177 Research Road, Kelowna, BC Canada V1V 1V7.</w:t>
      </w:r>
    </w:p>
    <w:p>
      <w:pPr>
        <w:pStyle w:val="BodyText"/>
      </w:pPr>
      <w:r>
        <w:t xml:space="preserve">2 – University of Maryland College Park, College Park, MD, USA.</w:t>
      </w:r>
    </w:p>
    <w:p>
      <w:pPr>
        <w:pStyle w:val="BodyText"/>
      </w:pPr>
      <w:r>
        <w:t xml:space="preserve">3 – Smithsonian Conservation Biology Institute, Front Royal, VA, USA.</w:t>
      </w:r>
    </w:p>
    <w:p>
      <w:pPr>
        <w:pStyle w:val="BodyText"/>
      </w:pPr>
      <w:r>
        <w:t xml:space="preserve">4 – Center for Advanced Systems Understanding (CASUS), Görlitz, Germany.</w:t>
      </w:r>
    </w:p>
    <w:p>
      <w:pPr>
        <w:pStyle w:val="BodyText"/>
      </w:pPr>
      <w:r>
        <w:t xml:space="preserve">5 – Helmholtz-Zentrum Dresden Rossendorf (HZDR), Dresden, Germany.</w:t>
      </w:r>
    </w:p>
    <w:p>
      <w:pPr>
        <w:pStyle w:val="BodyText"/>
      </w:pPr>
      <w:r>
        <w:t xml:space="preserve">6 – Department of Ecological Modelling, Helmholtz Centre for Environmental Research (UFZ), Leipzig, Germany.</w:t>
      </w:r>
    </w:p>
    <w:p>
      <w:pPr>
        <w:pStyle w:val="BodyText"/>
      </w:pPr>
      <w:r>
        <w:t xml:space="preserve">7 – Lowland Tapir Conservation Initiative, Instituto de Pesquisas Ecológicas (IPÊ), Rodovia Dom Pedro I, km 47, 12960-000, Nazaré Paulista, São Paulo, Brazil.</w:t>
      </w:r>
    </w:p>
    <w:p>
      <w:pPr>
        <w:pStyle w:val="BodyText"/>
      </w:pPr>
    </w:p>
    <w:p>
      <w:pPr>
        <w:pStyle w:val="BodyText"/>
      </w:pPr>
      <w:r>
        <w:rPr>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
        </w:rPr>
        <w:t xml:space="preserve">Running head:</w:t>
      </w:r>
      <w:r>
        <w:t xml:space="preserve"> </w:t>
      </w:r>
      <w:r>
        <w:t xml:space="preserve">Lowland tapir space use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p>
        </w:tc>
        <w:tc>
          <w:tcPr>
            <w:tcBorders>
              <w:bottom w:val="single"/>
            </w:tcBorders>
            <w:vAlign w:val="bottom"/>
          </w:tcPr>
          <w:p/>
        </w:tc>
        <w:tc>
          <w:tcPr>
            <w:tcBorders>
              <w:bottom w:val="single"/>
            </w:tcBorders>
            <w:vAlign w:val="bottom"/>
          </w:tcPr>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
        </w:rPr>
        <w:t xml:space="preserve">Statement on human or animal subjects:</w:t>
      </w:r>
      <w:r>
        <w:t xml:space="preserve"> </w:t>
      </w:r>
      <w:r>
        <w:t xml:space="preserve">NEED PATI HERE</w:t>
      </w:r>
    </w:p>
    <w:bookmarkStart w:id="21" w:name="abstract"/>
    <w:p>
      <w:pPr>
        <w:pStyle w:val="Heading1"/>
      </w:pPr>
      <w:r>
        <w:rPr>
          <w:rStyle w:val="SectionNumber"/>
        </w:rPr>
        <w:t xml:space="preserve">1</w:t>
      </w:r>
      <w:r>
        <w:tab/>
      </w:r>
      <w:r>
        <w:t xml:space="preserve">Abstract</w:t>
      </w:r>
    </w:p>
    <w:p>
      <w:pPr>
        <w:pStyle w:val="FirstParagraph"/>
      </w:pPr>
      <w:r>
        <w:rPr>
          <w:b/>
        </w:rPr>
        <w:t xml:space="preserve">Keywords:</w:t>
      </w:r>
    </w:p>
    <w:bookmarkEnd w:id="21"/>
    <w:bookmarkStart w:id="22" w:name="introduction"/>
    <w:p>
      <w:pPr>
        <w:pStyle w:val="Heading1"/>
      </w:pPr>
      <w:r>
        <w:rPr>
          <w:rStyle w:val="SectionNumber"/>
        </w:rPr>
        <w:t xml:space="preserve">2</w:t>
      </w:r>
      <w:r>
        <w:tab/>
      </w: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there are no clear</w:t>
      </w:r>
      <w:r>
        <w:t xml:space="preserve"> </w:t>
      </w:r>
      <w:r>
        <w:rPr>
          <w:i/>
        </w:rPr>
        <w:t xml:space="preserve">a priori</w:t>
      </w:r>
      <w:r>
        <w:t xml:space="preserve"> </w:t>
      </w:r>
      <w:r>
        <w:t xml:space="preserve">expectations as to how any given species might be expected to respond to human disturbance. For instance, although</w:t>
      </w:r>
      <w:r>
        <w:t xml:space="preserve"> </w:t>
      </w:r>
      <w:r>
        <w:t xml:space="preserve">Wall et al. (2021)</w:t>
      </w:r>
      <w:r>
        <w:t xml:space="preserve"> </w:t>
      </w:r>
      <w:r>
        <w:t xml:space="preserve">found a tendency for African elephants (</w:t>
      </w:r>
      <w:r>
        <w:rPr>
          <w:i/>
        </w:rPr>
        <w:t xml:space="preserve">Loxodonta spp.</w:t>
      </w:r>
      <w:r>
        <w:t xml:space="preserve">) to have reduced movement in human modified landscapes,</w:t>
      </w:r>
      <w:r>
        <w:t xml:space="preserve"> </w:t>
      </w:r>
      <w:r>
        <w:t xml:space="preserve">Morato et al. (2016)</w:t>
      </w:r>
      <w:r>
        <w:t xml:space="preserve"> </w:t>
      </w:r>
      <w:r>
        <w:t xml:space="preserve">noted that jaguars (</w:t>
      </w:r>
      <w:r>
        <w:rPr>
          <w:i/>
        </w:rPr>
        <w:t xml:space="preserve">Panthera onca</w:t>
      </w:r>
      <w:r>
        <w:t xml:space="preserve">) living in regions with high human population densities occupied home ranges that were orders of magnitude larger than those of jaguars living in more pristine habitats.</w:t>
      </w:r>
    </w:p>
    <w:p>
      <w:pPr>
        <w:pStyle w:val="BodyText"/>
      </w:pPr>
      <w:r>
        <w:t xml:space="preserve">As human disturbance is only expected to worsen over the next decade it is critical to better understand how species respond to human disturbance in order to develop effective conservation strategies. To this end, here we focus on understanding how the movement behaviour of lowland tapirs (</w:t>
      </w:r>
      <w:r>
        <w:rPr>
          <w:i/>
        </w:rPr>
        <w:t xml:space="preserve">Tapirus terrestris</w:t>
      </w:r>
      <w:r>
        <w:t xml:space="preserve">, henceforth</w:t>
      </w:r>
      <w:r>
        <w:t xml:space="preserve"> </w:t>
      </w:r>
      <w:r>
        <w:t xml:space="preserve">‘</w:t>
      </w:r>
      <w:r>
        <w:t xml:space="preserve">tapirs</w:t>
      </w:r>
      <w:r>
        <w:t xml:space="preserve">’</w:t>
      </w:r>
      <w:r>
        <w:t xml:space="preserve">) varies across three biomes in southern Brazil, the Pantanal, Cerrado, and Atlantic Forest. Tapirs are herbivores of the order Perissodactyla that can reach over 2.5 meters and weigh up to 250kg</w:t>
      </w:r>
      <w:r>
        <w:t xml:space="preserve"> </w:t>
      </w:r>
      <w:r>
        <w:t xml:space="preserve">(Myers et al. 2006)</w:t>
      </w:r>
      <w:r>
        <w:t xml:space="preserve"> </w:t>
      </w:r>
      <w:r>
        <w:t xml:space="preserve">and are distributed throughout South America (Gardner 2008). Tapir populations have suffered severe reductions, with local and regional extirpations, and are currently classified as vulnerable to extinction</w:t>
      </w:r>
      <w:r>
        <w:t xml:space="preserve"> </w:t>
      </w:r>
      <w:r>
        <w:t xml:space="preserve">(Varela et al. 2019)</w:t>
      </w:r>
      <w:r>
        <w:t xml:space="preserve">. PATI THIS SECTION IS MOSTLY UP TO YOU AS NOT MUCH HAS BEEN PUBLISH ON LOWLAND TAPIR BIOLOGY/ECOLOGY. We use an extensive telemetry dataset collected over XX years to describe the movement ecology of tapirs and study how changes in human disturbance influence their movement and space use. Currently, almost nothing is known about the movement ecology of tapirs</w:t>
      </w:r>
      <w:r>
        <w:t xml:space="preserve"> </w:t>
      </w:r>
      <w:r>
        <w:t xml:space="preserve">(but see C. H. Fleming et al. 2019)</w:t>
      </w:r>
      <w:r>
        <w:t xml:space="preserve">. Because large herbivores tend to increase</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Findings are directly applicable to developing management plans, not only for tapirs but possibly also to other medium-large herbivores throughout South America.</w:t>
      </w:r>
    </w:p>
    <w:bookmarkEnd w:id="22"/>
    <w:bookmarkStart w:id="30" w:name="methods"/>
    <w:p>
      <w:pPr>
        <w:pStyle w:val="Heading1"/>
      </w:pPr>
      <w:r>
        <w:rPr>
          <w:rStyle w:val="SectionNumber"/>
        </w:rPr>
        <w:t xml:space="preserve">3</w:t>
      </w:r>
      <w:r>
        <w:tab/>
      </w:r>
      <w:r>
        <w:t xml:space="preserve">Methods</w:t>
      </w:r>
    </w:p>
    <w:bookmarkStart w:id="24" w:name="study-area-and-data-collection"/>
    <w:p>
      <w:pPr>
        <w:pStyle w:val="Heading2"/>
      </w:pPr>
      <w:r>
        <w:rPr>
          <w:rStyle w:val="SectionNumber"/>
        </w:rPr>
        <w:t xml:space="preserve">3.1</w:t>
      </w:r>
      <w:r>
        <w:tab/>
      </w:r>
      <w:r>
        <w:t xml:space="preserve">Study area and data collection</w:t>
      </w:r>
    </w:p>
    <w:p>
      <w:pPr>
        <w:pStyle w:val="FirstParagraph"/>
      </w:pPr>
      <w:r>
        <w:t xml:space="preserve">The data was collected in three different ecosystems in southern Brazil (Fig.</w:t>
      </w:r>
      <w:r>
        <w:t xml:space="preserve"> </w:t>
      </w:r>
      <w:r>
        <w:t xml:space="preserve">3.1</w:t>
      </w:r>
      <w:r>
        <w:t xml:space="preserve">): south-western Cerrado (savannah, control environment), Pantanal (wetland, agricultural environment), and western Mata Atlântica (forest, degraded environment).</w:t>
      </w:r>
    </w:p>
    <w:p>
      <w:pPr>
        <w:pStyle w:val="BodyText"/>
      </w:pPr>
      <w:r>
        <w:rPr>
          <w:i/>
        </w:rPr>
        <w:t xml:space="preserve">Add details on climate and land use?</w:t>
      </w:r>
    </w:p>
    <w:p>
      <w:pPr>
        <w:pStyle w:val="BodyText"/>
      </w:pPr>
      <w:r>
        <w:t xml:space="preserve">Animals were tracked using VHF tracking (all three regions) and GPS tracking (Pantanal and Cerrado).</w:t>
      </w:r>
      <w:r>
        <w:t xml:space="preserve"> </w:t>
      </w:r>
      <w:r>
        <w:rPr>
          <w:i/>
        </w:rPr>
        <w:t xml:space="preserve">Add details on capturing and tracking devices</w:t>
      </w:r>
    </w:p>
    <w:p>
      <w:pPr>
        <w:pStyle w:val="BodyText"/>
      </w:pPr>
      <w:r>
        <w:t xml:space="preserve">A total of 74 tapirs were tracked starting in July of 1997 until October of 2019, with the majority of the data being in the Pantanal (46), while 17 and 11 were from the Cerrado and Mata Atlântica regions, respectively.</w:t>
      </w:r>
    </w:p>
    <w:p>
      <w:pPr>
        <w:pStyle w:val="CaptionedFigure"/>
      </w:pPr>
      <w:r>
        <w:drawing>
          <wp:inline>
            <wp:extent cx="5334000" cy="4667249"/>
            <wp:effectExtent b="0" l="0" r="0" t="0"/>
            <wp:docPr descr="Figure 3.1: Location of the tree study sites (Pantanal, Cerrado, Mata Atlântica) over a raster of machine-learning-based human footprint index (ml-HFI), an index of human pressure on the landscape that is derived from remotely sensed surface imagery and ranges on a scale between 0 (no human impact), and 1 (high human impact)." title="" id="1" name="Picture"/>
            <a:graphic>
              <a:graphicData uri="http://schemas.openxmlformats.org/drawingml/2006/picture">
                <pic:pic>
                  <pic:nvPicPr>
                    <pic:cNvPr descr="../figures/hr-map_inset.png" id="0" name="Picture"/>
                    <pic:cNvPicPr>
                      <a:picLocks noChangeArrowheads="1" noChangeAspect="1"/>
                    </pic:cNvPicPr>
                  </pic:nvPicPr>
                  <pic:blipFill>
                    <a:blip r:embed="rId23"/>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3.1: Location of the tree study sites (Pantanal, Cerrado, Mata Atlântica) over a raster of machine-learning-based human footprint index (ml-HFI), an index of human pressure on the landscape that is derived from remotely sensed surface imagery and ranges on a scale between 0 (no human impact), and 1 (high human impact).</w:t>
      </w:r>
    </w:p>
    <w:bookmarkEnd w:id="24"/>
    <w:bookmarkStart w:id="29" w:name="data-analysis"/>
    <w:p>
      <w:pPr>
        <w:pStyle w:val="Heading2"/>
      </w:pPr>
      <w:r>
        <w:rPr>
          <w:rStyle w:val="SectionNumber"/>
        </w:rPr>
        <w:t xml:space="preserve">3.2</w:t>
      </w:r>
      <w:r>
        <w:tab/>
      </w:r>
      <w:r>
        <w:t xml:space="preserve">Data analysis</w:t>
      </w:r>
    </w:p>
    <w:p>
      <w:pPr>
        <w:pStyle w:val="FirstParagraph"/>
      </w:pPr>
      <w:r>
        <w:t xml:space="preserve">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(version 0.6.1,</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 Wickham 2016)</w:t>
      </w:r>
      <w:r>
        <w:t xml:space="preserve"> </w:t>
      </w:r>
      <w:r>
        <w:rPr>
          <w:rStyle w:val="VerbatimChar"/>
        </w:rPr>
        <w:t xml:space="preserve">ggmap</w:t>
      </w:r>
      <w:r>
        <w:t xml:space="preserve"> </w:t>
      </w:r>
      <w:r>
        <w:t xml:space="preserve">(version ,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5">
        <w:r>
          <w:rPr>
            <w:rStyle w:val="Hyperlink"/>
          </w:rPr>
          <w:t xml:space="preserve">https://github.com/StefanoMezzini/tapirs</w:t>
        </w:r>
      </w:hyperlink>
      <w:r>
        <w:t xml:space="preserve">.</w:t>
      </w:r>
    </w:p>
    <w:bookmarkStart w:id="26" w:name="data-calibration-and-cleaning"/>
    <w:p>
      <w:pPr>
        <w:pStyle w:val="Heading3"/>
      </w:pPr>
      <w:r>
        <w:rPr>
          <w:rStyle w:val="SectionNumber"/>
        </w:rPr>
        <w:t xml:space="preserve">3.2.1</w:t>
      </w:r>
      <w:r>
        <w:tab/>
      </w: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uncalibrated locations were carried forward in the analyses. Location estimates collected via GPS tracking were calibrated using a unitless Horizontal Dilution of Precision (HDOP), which estimated the accuracy of each positional fix. We then estimated an equivalent range error with the HDOP values from 883 and 174 measurements from tags in fixed locations in the Pantanal and Cerrado, respectively. This allowed for the unite-less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t>≥</m:t>
        </m:r>
        <m:r>
          <m:t>1</m:t>
        </m:r>
      </m:oMath>
      <w:r>
        <w:t xml:space="preserve">m/s). The Mata Atlântica dataset contained a total of 4 082 observations, 8 of which were removed as outliers; the Pantanal dataset contained 139 138 observations, 914 of which were removed; while the Cerrado dataset contained 90 402 observations, 193 of which were removed.</w:t>
      </w:r>
      <w:r>
        <w:t xml:space="preserve"> </w:t>
      </w:r>
      <w:r>
        <w:rPr>
          <w:i/>
        </w:rPr>
        <w:t xml:space="preserve">(no speed outliers found when I (Stefano) was cleaning the datasets, but 1105 outliers had already been removed)</w:t>
      </w:r>
    </w:p>
    <w:bookmarkEnd w:id="26"/>
    <w:bookmarkStart w:id="27" w:name="X7c0b704e87b869d5151a0ea12188ca03e697d0d"/>
    <w:p>
      <w:pPr>
        <w:pStyle w:val="Heading3"/>
      </w:pPr>
      <w:r>
        <w:rPr>
          <w:rStyle w:val="SectionNumber"/>
        </w:rPr>
        <w:t xml:space="preserve">3.2.2</w:t>
      </w:r>
      <w:r>
        <w:tab/>
      </w:r>
      <w:r>
        <w:t xml:space="preserve">Movement modelling and home range estimation</w:t>
      </w:r>
    </w:p>
    <w:p>
      <w:pPr>
        <w:pStyle w:val="FirstParagraph"/>
      </w:pPr>
      <w:r>
        <w:t xml:space="preserve">For each of the monitored tapirs we quantified a number of key movement metrics and home range 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w:t>
      </w:r>
      <w:r>
        <w:t xml:space="preserve">Michael J. Noonan et al. (2019)</w:t>
      </w:r>
      <w:r>
        <w:t xml:space="preserve">) and they account for spatio-temporal autocorrelation in the data (when necessary), so they are robust to irregular or frequent sampling frequency</w:t>
      </w:r>
      <w:r>
        <w:t xml:space="preserve"> </w:t>
      </w:r>
      <w:r>
        <w:t xml:space="preserve">(C. H. Fleming et al. 2018)</w:t>
      </w:r>
      <w:r>
        <w:t xml:space="preserve">, HR underestimation</w:t>
      </w:r>
      <w:r>
        <w:t xml:space="preserve"> </w:t>
      </w:r>
      <w:r>
        <w:t xml:space="preserve">(M. J. Noonan et al. 2019)</w:t>
      </w:r>
      <w:r>
        <w:t xml:space="preserve">, and significance inflation [META PAPER IN PREP WHICH WE CAN CITE WHEN IT’S ON THE ARCHIVE]. The parameter estimates from each individual’s movement model provided information on the tapir’s home range crossing time (in days), and directional persistence timescale (in hours).</w:t>
      </w:r>
    </w:p>
    <w:p>
      <w:pPr>
        <w:pStyle w:val="BodyText"/>
      </w:pPr>
      <w:r>
        <w:t xml:space="preserve">We then conditioned off of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27"/>
    <w:bookmarkStart w:id="28" w:name="movement-pattern-analyses"/>
    <w:p>
      <w:pPr>
        <w:pStyle w:val="Heading3"/>
      </w:pPr>
      <w:r>
        <w:rPr>
          <w:rStyle w:val="SectionNumber"/>
        </w:rPr>
        <w:t xml:space="preserve">3.2.3</w:t>
      </w:r>
      <w:r>
        <w:tab/>
      </w: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 [CITE META PAPER],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environmental modification significantly altered the animals’ behavior, the HR sizes and average daily speeds were regressed against their HR’s average machine</w:t>
      </w:r>
      <w:r>
        <w:t xml:space="preserve"> </w:t>
      </w:r>
      <w:r>
        <w:t xml:space="preserve">machine-learning-based human footprint index (ml-HFI)</w:t>
      </w:r>
      <w:r>
        <w:t xml:space="preserve"> </w:t>
      </w:r>
      <w:r>
        <w:t xml:space="preserve">(Keys, Barnes, and Carter 2021)</w:t>
      </w:r>
      <w:r>
        <w:t xml:space="preserve">. The ml-HFI is an index of human pressure on the landscape that is derived from remotely sensed surface imagery and ranges on a scale between 0 (no human impact), and 1 (high human impact). For these models we applied Generalized Linear Models (GLMs) with a Gamma distribution and a log link for the response. The Gamma distribution allows for more accurate significance testing, while the log link scale allows HFI to have a multiplicative effect on the response. The GLMs were fit using the</w:t>
      </w:r>
      <w:r>
        <w:t xml:space="preserve"> </w:t>
      </w:r>
      <w:r>
        <w:rPr>
          <w:rStyle w:val="VerbatimChar"/>
        </w:rPr>
        <w:t xml:space="preserve">mgcv</w:t>
      </w:r>
      <w:r>
        <w:t xml:space="preserve"> </w:t>
      </w:r>
      <w:r>
        <w:t xml:space="preserve">package</w:t>
      </w:r>
      <w:r>
        <w:t xml:space="preserve"> </w:t>
      </w:r>
      <w:r>
        <w:t xml:space="preserve">(Wood 2017)</w:t>
      </w:r>
      <w:r>
        <w:t xml:space="preserve">, and Restricted Maximum Likelihood (REML).</w:t>
      </w:r>
    </w:p>
    <w:bookmarkEnd w:id="28"/>
    <w:bookmarkEnd w:id="29"/>
    <w:bookmarkEnd w:id="30"/>
    <w:bookmarkStart w:id="37" w:name="results"/>
    <w:p>
      <w:pPr>
        <w:pStyle w:val="Heading1"/>
      </w:pPr>
      <w:r>
        <w:rPr>
          <w:rStyle w:val="SectionNumber"/>
        </w:rPr>
        <w:t xml:space="preserve">4</w:t>
      </w:r>
      <w:r>
        <w:tab/>
      </w:r>
      <w:r>
        <w:t xml:space="preserve">Results</w:t>
      </w:r>
    </w:p>
    <w:bookmarkStart w:id="33" w:name="X5098fd6469a5e131273aa1f3639e658bf1d24f3"/>
    <w:p>
      <w:pPr>
        <w:pStyle w:val="Heading2"/>
      </w:pPr>
      <w:r>
        <w:rPr>
          <w:rStyle w:val="SectionNumber"/>
        </w:rPr>
        <w:t xml:space="preserve">4.1</w:t>
      </w:r>
      <w:r>
        <w:tab/>
      </w:r>
      <w:r>
        <w:t xml:space="preserve">Individual variation in movement and space use</w:t>
      </w:r>
    </w:p>
    <w:p>
      <w:pPr>
        <w:pStyle w:val="FirstParagraph"/>
      </w:pPr>
      <w:r>
        <w:rPr>
          <w:i/>
        </w:rPr>
        <w:t xml:space="preserve">change values to more appropriate estimates; currently using mean +/- 1.96 sd/sqrt(n)</w:t>
      </w:r>
    </w:p>
    <w:p>
      <w:pPr>
        <w:pStyle w:val="BodyText"/>
      </w:pPr>
      <w:r>
        <w:t xml:space="preserve">The mean home range size across all monitored tapirs was 5.82 km</w:t>
      </w:r>
      <m:oMath>
        <m:sSup>
          <m:e>
            <m:r>
              <m:t>​</m:t>
            </m:r>
          </m:e>
          <m:sup>
            <m:r>
              <m:t>2</m:t>
            </m:r>
          </m:sup>
        </m:sSup>
      </m:oMath>
      <w:r>
        <w:t xml:space="preserve"> </w:t>
      </w:r>
      <w:r>
        <w:t xml:space="preserve">(95% CI: 4.71 - 7.12),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4.1</w:t>
      </w:r>
      <w:r>
        <w:t xml:space="preserve">a). Tapirs had HR crossing times of 0.72 days on average (95% CI: 0.35 - 1.10), ranging from 0.05 to 12.8 days (Fig.</w:t>
      </w:r>
      <w:r>
        <w:t xml:space="preserve"> </w:t>
      </w:r>
      <w:r>
        <w:t xml:space="preserve">4.1</w:t>
      </w:r>
      <w:r>
        <w:t xml:space="preserve">b), and a mean velocity autocorrelation timescale of 0.44 hours (95% CI: 0.39 - 0.49), ranging from 0.17 to 1.88 hours (Fig.</w:t>
      </w:r>
      <w:r>
        <w:t xml:space="preserve"> </w:t>
      </w:r>
      <w:r>
        <w:t xml:space="preserve">4.1</w:t>
      </w:r>
      <w:r>
        <w:t xml:space="preserve">c). We estimated that tapirs had mean movement speeds of 11.2 km/day (95% CI: 10.2 - 12.1), ranging from 1.51 to 25.96 km/day (Fig.</w:t>
      </w:r>
      <w:r>
        <w:t xml:space="preserve"> </w:t>
      </w:r>
      <w:r>
        <w:t xml:space="preserve">4.1</w:t>
      </w:r>
      <w:r>
        <w:t xml:space="preserve">d). There was no evidence that average daily speed differed between sexes (females: 10.5 km/day, 95% CI: 9.19 - 12.0; males: 11.9 km/day; 95% CI: 10.3 - 13.7,</w:t>
      </w:r>
      <w:r>
        <w:t xml:space="preserve"> </w:t>
      </w:r>
      <m:oMath>
        <m:r>
          <m:t>p</m:t>
        </m:r>
        <m:r>
          <m:t>=</m:t>
        </m:r>
        <m:r>
          <m:t>0.22</m:t>
        </m:r>
      </m:oMath>
      <w:r>
        <w:t xml:space="preserve">,</w:t>
      </w:r>
      <w:r>
        <w:t xml:space="preserve"> </w:t>
      </w:r>
      <w:r>
        <w:t xml:space="preserve">4.2</w:t>
      </w:r>
      <w:r>
        <w:t xml:space="preserve">a), and there was little to no evidence of it differing between age groups (adults: 11.8 km/day, 95% CI: 10.6 - 13.2; sub-adults: 9.52 km/day, 95% CI: 7.94 - 11.4;</w:t>
      </w:r>
      <w:r>
        <w:t xml:space="preserve"> </w:t>
      </w:r>
      <m:oMath>
        <m:r>
          <m:t>p</m:t>
        </m:r>
        <m:r>
          <m:t>=</m:t>
        </m:r>
        <m:r>
          <m:t>0.053</m:t>
        </m:r>
      </m:oMath>
      <w:r>
        <w:t xml:space="preserve">, Fig.</w:t>
      </w:r>
      <w:r>
        <w:t xml:space="preserve"> </w:t>
      </w:r>
      <w:r>
        <w:t xml:space="preserve">4.2</w:t>
      </w:r>
      <w:r>
        <w:t xml:space="preserve">b).</w:t>
      </w:r>
    </w:p>
    <w:p>
      <w:pPr>
        <w:pStyle w:val="CaptionedFigure"/>
      </w:pPr>
      <w:r>
        <w:drawing>
          <wp:inline>
            <wp:extent cx="5334000" cy="4665306"/>
            <wp:effectExtent b="0" l="0" r="0" t="0"/>
            <wp:docPr descr="Figure 4.1: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31"/>
                    <a:stretch>
                      <a:fillRect/>
                    </a:stretch>
                  </pic:blipFill>
                  <pic:spPr bwMode="auto">
                    <a:xfrm>
                      <a:off x="0" y="0"/>
                      <a:ext cx="5334000" cy="4665306"/>
                    </a:xfrm>
                    <a:prstGeom prst="rect">
                      <a:avLst/>
                    </a:prstGeom>
                    <a:noFill/>
                    <a:ln w="9525">
                      <a:noFill/>
                      <a:headEnd/>
                      <a:tailEnd/>
                    </a:ln>
                  </pic:spPr>
                </pic:pic>
              </a:graphicData>
            </a:graphic>
          </wp:inline>
        </w:drawing>
      </w:r>
    </w:p>
    <w:p>
      <w:pPr>
        <w:pStyle w:val="ImageCaption"/>
      </w:pPr>
      <w:r>
        <w:t xml:space="preserve">Figure 4.1: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4.2: Boxplots of daily average speed (a, b) and estimated home range size (c, d) by sex and age group." title="" id="1" name="Picture"/>
            <a:graphic>
              <a:graphicData uri="http://schemas.openxmlformats.org/drawingml/2006/picture">
                <pic:pic>
                  <pic:nvPicPr>
                    <pic:cNvPr descr="../figures/boxplots.png" id="0" name="Picture"/>
                    <pic:cNvPicPr>
                      <a:picLocks noChangeArrowheads="1" noChangeAspect="1"/>
                    </pic:cNvPicPr>
                  </pic:nvPicPr>
                  <pic:blipFill>
                    <a:blip r:embed="rId32"/>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4.2: Boxplots of daily average speed (a, b) and estimated home range size (c, d) by sex and age group.</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t>=</m:t>
        </m:r>
        <m:r>
          <m:t>0.541</m:t>
        </m:r>
      </m:oMath>
      <w:r>
        <w:t xml:space="preserve">, Fig.</w:t>
      </w:r>
      <w:r>
        <w:t xml:space="preserve"> </w:t>
      </w:r>
      <w:r>
        <w:t xml:space="preserve">4.2</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t>=</m:t>
        </m:r>
        <m:r>
          <m:t>0.324</m:t>
        </m:r>
      </m:oMath>
      <w:r>
        <w:t xml:space="preserve">, Fig.</w:t>
      </w:r>
      <w:r>
        <w:t xml:space="preserve"> </w:t>
      </w:r>
      <w:r>
        <w:t xml:space="preserve">4.2</w:t>
      </w:r>
      <w:r>
        <w:t xml:space="preserve">d).</w:t>
      </w:r>
    </w:p>
    <w:bookmarkEnd w:id="33"/>
    <w:bookmarkStart w:id="36" w:name="X9a1b459593d05e8e0a953d9abb013551523906a"/>
    <w:p>
      <w:pPr>
        <w:pStyle w:val="Heading2"/>
      </w:pPr>
      <w:r>
        <w:rPr>
          <w:rStyle w:val="SectionNumber"/>
        </w:rPr>
        <w:t xml:space="preserve">4.2</w:t>
      </w:r>
      <w:r>
        <w:tab/>
      </w:r>
      <w:r>
        <w:t xml:space="preserve">Variation in movement across biomes and gradients of human disturbance</w:t>
      </w:r>
    </w:p>
    <w:p>
      <w:pPr>
        <w:pStyle w:val="FirstParagraph"/>
      </w:pPr>
      <w:r>
        <w:t xml:space="preserve">The Atlantic Forest, Cerrado, and Pantanal varied substantially in habitat composition, levels of human disturbance, and tapir population densities (</w:t>
      </w:r>
      <w:r>
        <w:rPr>
          <w:i/>
        </w:rPr>
        <w:t xml:space="preserve">PATI, IS THERE A SOURCE TO SUPPORT THIS STATEMENT?</w:t>
      </w:r>
      <w:r>
        <w:t xml:space="preserve">). Despite this, we found that lowland tapir movement behaviour and space use were consistent across all three biomes (Fig.</w:t>
      </w:r>
      <w:r>
        <w:t xml:space="preserve"> </w:t>
      </w:r>
      <w:r>
        <w:t xml:space="preserve">4.1</w:t>
      </w:r>
      <w:r>
        <w:t xml:space="preserve">.</w:t>
      </w:r>
    </w:p>
    <w:p>
      <w:pPr>
        <w:pStyle w:val="BodyText"/>
      </w:pPr>
      <w:r>
        <w:t xml:space="preserve">We also found [no] relationship between home range area and HABITAT LAYER RESULTS (Fig. XXX). Similar trends were observed across all other movement parameters (Fig. XXX).</w:t>
      </w:r>
      <w:r>
        <w:br/>
      </w:r>
      <w:r>
        <w:t xml:space="preserve">HFI had no significant effect on either lowland tapir home range size (p-value = 0.90; Fig. XXXa), nor average daily movement speed (p-value = 0.53; Fig. XXXb). A tapir living in a near pristine environment (HFI = 0.004) was estimated to have a home range of 7.77 km</w:t>
      </w:r>
      <m:oMath>
        <m:sSup>
          <m:e>
            <m:r>
              <m:t>​</m:t>
            </m:r>
          </m:e>
          <m:sup>
            <m:r>
              <m:t>2</m:t>
            </m:r>
          </m:sup>
        </m:sSup>
      </m:oMath>
      <w:r>
        <w:t xml:space="preserve"> </w:t>
      </w:r>
      <w:r>
        <w:t xml:space="preserve">(95% CI: 2.12 - 28.6) and an average speed of 13.19 km/day (95% CI: 7.82 - 22.1),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w:t>
      </w:r>
    </w:p>
    <w:p>
      <w:pPr>
        <w:pStyle w:val="CaptionedFigure"/>
      </w:pPr>
      <w:r>
        <w:drawing>
          <wp:inline>
            <wp:extent cx="5334000" cy="2333001"/>
            <wp:effectExtent b="0" l="0" r="0" t="0"/>
            <wp:docPr descr="Figure 4.3: Estimated mean effect of machine-learning-based human footprint index (ml-HFI) on the tapirs’ estimated home range area and estimated average daily speed." title="" id="1" name="Picture"/>
            <a:graphic>
              <a:graphicData uri="http://schemas.openxmlformats.org/drawingml/2006/picture">
                <pic:pic>
                  <pic:nvPicPr>
                    <pic:cNvPr descr="../figures/hfi-regressions.png" id="0" name="Picture"/>
                    <pic:cNvPicPr>
                      <a:picLocks noChangeArrowheads="1" noChangeAspect="1"/>
                    </pic:cNvPicPr>
                  </pic:nvPicPr>
                  <pic:blipFill>
                    <a:blip r:embed="rId34"/>
                    <a:stretch>
                      <a:fillRect/>
                    </a:stretch>
                  </pic:blipFill>
                  <pic:spPr bwMode="auto">
                    <a:xfrm>
                      <a:off x="0" y="0"/>
                      <a:ext cx="5334000" cy="2333001"/>
                    </a:xfrm>
                    <a:prstGeom prst="rect">
                      <a:avLst/>
                    </a:prstGeom>
                    <a:noFill/>
                    <a:ln w="9525">
                      <a:noFill/>
                      <a:headEnd/>
                      <a:tailEnd/>
                    </a:ln>
                  </pic:spPr>
                </pic:pic>
              </a:graphicData>
            </a:graphic>
          </wp:inline>
        </w:drawing>
      </w:r>
    </w:p>
    <w:p>
      <w:pPr>
        <w:pStyle w:val="ImageCaption"/>
      </w:pPr>
      <w:r>
        <w:t xml:space="preserve">Figure 4.3: Estimated mean effect of machine-learning-based human footprint index (ml-HFI) on the tapirs’ estimated home range area and estimated average daily speed.</w:t>
      </w:r>
    </w:p>
    <w:p>
      <w:pPr>
        <w:pStyle w:val="BodyText"/>
      </w:pPr>
      <w:r>
        <w:rPr>
          <w:i/>
          <w:b/>
        </w:rPr>
        <w:t xml:space="preserve">ADD AKDE RESULTS</w:t>
      </w:r>
      <w:r>
        <w:t xml:space="preserve"> </w:t>
      </w:r>
      <w:r>
        <w:t xml:space="preserve">(Fig.</w:t>
      </w:r>
      <w:r>
        <w:t xml:space="preserve"> </w:t>
      </w:r>
      <w:r>
        <w:t xml:space="preserve">4.4</w:t>
      </w:r>
      <w:r>
        <w:t xml:space="preserve">)</w:t>
      </w:r>
    </w:p>
    <w:p>
      <w:pPr>
        <w:pStyle w:val="CaptionedFigure"/>
      </w:pPr>
      <w:r>
        <w:drawing>
          <wp:inline>
            <wp:extent cx="5334000" cy="9908359"/>
            <wp:effectExtent b="0" l="0" r="0" t="0"/>
            <wp:docPr descr="Figure 4.4: Autocorrelated kernel density estimations of each tapir’s 95% home range. THESE LOOK GOOD, BUT I THINK WE’RE GOING TO WANT BETTER UNDERLYING MAPS. WE SHOULD BE ABLE TO USE THE HABITAT LAYER RASTERS AFTER WE GET THOSE." title="" id="1" name="Picture"/>
            <a:graphic>
              <a:graphicData uri="http://schemas.openxmlformats.org/drawingml/2006/picture">
                <pic:pic>
                  <pic:nvPicPr>
                    <pic:cNvPr descr="../figures/hr-map.png" id="0" name="Picture"/>
                    <pic:cNvPicPr>
                      <a:picLocks noChangeArrowheads="1" noChangeAspect="1"/>
                    </pic:cNvPicPr>
                  </pic:nvPicPr>
                  <pic:blipFill>
                    <a:blip r:embed="rId35"/>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4.4: Autocorrelated kernel density estimations of each tapir’s 95% home range. THESE LOOK GOOD, BUT I THINK WE’RE GOING TO WANT BETTER UNDERLYING MAPS. WE SHOULD BE ABLE TO USE THE HABITAT LAYER RASTERS AFTER WE GET THOSE.</w:t>
      </w:r>
    </w:p>
    <w:bookmarkEnd w:id="36"/>
    <w:bookmarkEnd w:id="37"/>
    <w:bookmarkStart w:id="38" w:name="discussion"/>
    <w:p>
      <w:pPr>
        <w:pStyle w:val="Heading1"/>
      </w:pPr>
      <w:r>
        <w:rPr>
          <w:rStyle w:val="SectionNumber"/>
        </w:rPr>
        <w:t xml:space="preserve">5</w:t>
      </w:r>
      <w:r>
        <w:tab/>
      </w:r>
      <w:r>
        <w:t xml:space="preserve">Discussion</w:t>
      </w:r>
    </w:p>
    <w:bookmarkEnd w:id="38"/>
    <w:bookmarkStart w:id="39" w:name="acknowledgments"/>
    <w:p>
      <w:pPr>
        <w:pStyle w:val="Heading1"/>
      </w:pPr>
      <w:r>
        <w:rPr>
          <w:rStyle w:val="SectionNumber"/>
        </w:rPr>
        <w:t xml:space="preserve">6</w:t>
      </w:r>
      <w:r>
        <w:tab/>
      </w:r>
      <w:r>
        <w:t xml:space="preserve">Acknowledgments</w:t>
      </w:r>
    </w:p>
    <w:bookmarkEnd w:id="39"/>
    <w:bookmarkStart w:id="89" w:name="references"/>
    <w:p>
      <w:pPr>
        <w:pStyle w:val="Heading1"/>
      </w:pPr>
      <w:r>
        <w:t xml:space="preserve">References</w:t>
      </w:r>
    </w:p>
    <w:bookmarkStart w:id="88" w:name="refs"/>
    <w:bookmarkStart w:id="40"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
        </w:rPr>
        <w:t xml:space="preserve">Frontiers in Ecology and Evolution</w:t>
      </w:r>
      <w:r>
        <w:t xml:space="preserve"> </w:t>
      </w:r>
      <w:r>
        <w:t xml:space="preserve">3: 155.</w:t>
      </w:r>
    </w:p>
    <w:bookmarkEnd w:id="40"/>
    <w:bookmarkStart w:id="41"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
        </w:rPr>
        <w:t xml:space="preserve">Science</w:t>
      </w:r>
      <w:r>
        <w:t xml:space="preserve"> </w:t>
      </w:r>
      <w:r>
        <w:t xml:space="preserve">344 (6179): 1242552.</w:t>
      </w:r>
    </w:p>
    <w:bookmarkEnd w:id="41"/>
    <w:bookmarkStart w:id="42"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
        </w:rPr>
        <w:t xml:space="preserve">Conservation Biology</w:t>
      </w:r>
      <w:r>
        <w:t xml:space="preserve"> </w:t>
      </w:r>
      <w:r>
        <w:t xml:space="preserve">16 (4): 909–23.</w:t>
      </w:r>
    </w:p>
    <w:bookmarkEnd w:id="42"/>
    <w:bookmarkStart w:id="43"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
        </w:rPr>
        <w:t xml:space="preserve">Nature</w:t>
      </w:r>
      <w:r>
        <w:t xml:space="preserve"> </w:t>
      </w:r>
      <w:r>
        <w:t xml:space="preserve">486 (7401): 59–67.</w:t>
      </w:r>
    </w:p>
    <w:bookmarkEnd w:id="43"/>
    <w:bookmarkStart w:id="44"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
        </w:rPr>
        <w:t xml:space="preserve">Diversity and Distributions</w:t>
      </w:r>
      <w:r>
        <w:t xml:space="preserve"> </w:t>
      </w:r>
      <w:r>
        <w:t xml:space="preserve">24 (4): 448–59.</w:t>
      </w:r>
    </w:p>
    <w:bookmarkEnd w:id="44"/>
    <w:bookmarkStart w:id="46"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45">
        <w:r>
          <w:rPr>
            <w:rStyle w:val="Hyperlink"/>
          </w:rPr>
          <w:t xml:space="preserve">https://github.com/ctmm-initiative/ctmm, https://groups.google.com/g/ctmm-user</w:t>
        </w:r>
      </w:hyperlink>
      <w:r>
        <w:t xml:space="preserve">.</w:t>
      </w:r>
    </w:p>
    <w:bookmarkEnd w:id="46"/>
    <w:bookmarkStart w:id="47"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
        </w:rPr>
        <w:t xml:space="preserve">Journal of Applied Ecology</w:t>
      </w:r>
      <w:r>
        <w:t xml:space="preserve"> </w:t>
      </w:r>
      <w:r>
        <w:t xml:space="preserve">54 (1): 253–63.</w:t>
      </w:r>
    </w:p>
    <w:bookmarkEnd w:id="47"/>
    <w:bookmarkStart w:id="48"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
        </w:rPr>
        <w:t xml:space="preserve">Nature Ecology &amp; Evolution</w:t>
      </w:r>
      <w:r>
        <w:t xml:space="preserve"> </w:t>
      </w:r>
      <w:r>
        <w:t xml:space="preserve">5 (4): 513–19.</w:t>
      </w:r>
    </w:p>
    <w:bookmarkEnd w:id="48"/>
    <w:bookmarkStart w:id="49"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
        </w:rPr>
        <w:t xml:space="preserve">Journal of Development Economics</w:t>
      </w:r>
      <w:r>
        <w:t xml:space="preserve"> </w:t>
      </w:r>
      <w:r>
        <w:t xml:space="preserve">70 (2): 443–77.</w:t>
      </w:r>
    </w:p>
    <w:bookmarkEnd w:id="49"/>
    <w:bookmarkStart w:id="50" w:name="ref-Fahrig:1997"/>
    <w:p>
      <w:pPr>
        <w:pStyle w:val="Bibliography"/>
      </w:pPr>
      <w:r>
        <w:t xml:space="preserve">Fahrig, Lenore. 1997.</w:t>
      </w:r>
      <w:r>
        <w:t xml:space="preserve"> </w:t>
      </w:r>
      <w:r>
        <w:t xml:space="preserve">“Relative Effects of Habitat Loss and Fragmentation on Population Extinction.”</w:t>
      </w:r>
      <w:r>
        <w:t xml:space="preserve"> </w:t>
      </w:r>
      <w:r>
        <w:rPr>
          <w:i/>
        </w:rPr>
        <w:t xml:space="preserve">The Journal of Wildlife Management</w:t>
      </w:r>
      <w:r>
        <w:t xml:space="preserve">, 603–10.</w:t>
      </w:r>
    </w:p>
    <w:bookmarkEnd w:id="50"/>
    <w:bookmarkStart w:id="51"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
        </w:rPr>
        <w:t xml:space="preserve">Functional Ecology</w:t>
      </w:r>
      <w:r>
        <w:t xml:space="preserve"> </w:t>
      </w:r>
      <w:r>
        <w:t xml:space="preserve">21 (6): 1003–15.</w:t>
      </w:r>
    </w:p>
    <w:bookmarkEnd w:id="51"/>
    <w:bookmarkStart w:id="53"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52">
        <w:r>
          <w:rPr>
            <w:rStyle w:val="Hyperlink"/>
          </w:rPr>
          <w:t xml:space="preserve">https://doi.org/10.1101/2020.06.12.130195</w:t>
        </w:r>
      </w:hyperlink>
      <w:r>
        <w:t xml:space="preserve">.</w:t>
      </w:r>
    </w:p>
    <w:bookmarkEnd w:id="53"/>
    <w:bookmarkStart w:id="54"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
        </w:rPr>
        <w:t xml:space="preserve">Methods in Ecology and Evolution</w:t>
      </w:r>
      <w:r>
        <w:t xml:space="preserve"> </w:t>
      </w:r>
      <w:r>
        <w:t xml:space="preserve">10 (10): 1679–89.</w:t>
      </w:r>
    </w:p>
    <w:bookmarkEnd w:id="54"/>
    <w:bookmarkStart w:id="55"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
        </w:rPr>
        <w:t xml:space="preserve">Ecological Applications</w:t>
      </w:r>
      <w:r>
        <w:t xml:space="preserve"> </w:t>
      </w:r>
      <w:r>
        <w:t xml:space="preserve">28 (4): 1003–10.</w:t>
      </w:r>
    </w:p>
    <w:bookmarkEnd w:id="55"/>
    <w:bookmarkStart w:id="57"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
        </w:rPr>
        <w:t xml:space="preserve">Methods in Ecology and Evolution</w:t>
      </w:r>
      <w:r>
        <w:t xml:space="preserve"> </w:t>
      </w:r>
      <w:r>
        <w:t xml:space="preserve">10 (10): 1679–89.</w:t>
      </w:r>
      <w:r>
        <w:t xml:space="preserve"> </w:t>
      </w:r>
      <w:hyperlink r:id="rId56">
        <w:r>
          <w:rPr>
            <w:rStyle w:val="Hyperlink"/>
          </w:rPr>
          <w:t xml:space="preserve">https://doi.org/10.1111/2041-210X.13270</w:t>
        </w:r>
      </w:hyperlink>
      <w:r>
        <w:t xml:space="preserve">.</w:t>
      </w:r>
    </w:p>
    <w:bookmarkEnd w:id="57"/>
    <w:bookmarkStart w:id="58"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
        </w:rPr>
        <w:t xml:space="preserve">Methods in Ecology and Evolution</w:t>
      </w:r>
      <w:r>
        <w:t xml:space="preserve"> </w:t>
      </w:r>
      <w:r>
        <w:t xml:space="preserve">8 (5): 571–79.</w:t>
      </w:r>
    </w:p>
    <w:bookmarkEnd w:id="58"/>
    <w:bookmarkStart w:id="60"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
        </w:rPr>
        <w:t xml:space="preserve">Oecologia</w:t>
      </w:r>
      <w:r>
        <w:t xml:space="preserve">.</w:t>
      </w:r>
      <w:r>
        <w:t xml:space="preserve"> </w:t>
      </w:r>
      <w:hyperlink r:id="rId59">
        <w:r>
          <w:rPr>
            <w:rStyle w:val="Hyperlink"/>
          </w:rPr>
          <w:t xml:space="preserve">https://doi.org/10.1007/s00442-021-04967-y</w:t>
        </w:r>
      </w:hyperlink>
      <w:r>
        <w:t xml:space="preserve">.</w:t>
      </w:r>
    </w:p>
    <w:bookmarkEnd w:id="60"/>
    <w:bookmarkStart w:id="61"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
        </w:rPr>
        <w:t xml:space="preserve">Nature</w:t>
      </w:r>
      <w:r>
        <w:t xml:space="preserve"> </w:t>
      </w:r>
      <w:r>
        <w:t xml:space="preserve">486 (7401): 105–8.</w:t>
      </w:r>
    </w:p>
    <w:bookmarkEnd w:id="61"/>
    <w:bookmarkStart w:id="63"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
        </w:rPr>
        <w:t xml:space="preserve">The R Journal</w:t>
      </w:r>
      <w:r>
        <w:t xml:space="preserve"> </w:t>
      </w:r>
      <w:r>
        <w:t xml:space="preserve">5 (1): 144.</w:t>
      </w:r>
      <w:r>
        <w:t xml:space="preserve"> </w:t>
      </w:r>
      <w:hyperlink r:id="rId62">
        <w:r>
          <w:rPr>
            <w:rStyle w:val="Hyperlink"/>
          </w:rPr>
          <w:t xml:space="preserve">https://doi.org/10.32614/RJ-2013-014</w:t>
        </w:r>
      </w:hyperlink>
      <w:r>
        <w:t xml:space="preserve">.</w:t>
      </w:r>
    </w:p>
    <w:bookmarkEnd w:id="63"/>
    <w:bookmarkStart w:id="64"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
        </w:rPr>
        <w:t xml:space="preserve">Environmental Research Letters</w:t>
      </w:r>
      <w:r>
        <w:t xml:space="preserve"> </w:t>
      </w:r>
      <w:r>
        <w:t xml:space="preserve">16 (4): 044061.</w:t>
      </w:r>
    </w:p>
    <w:bookmarkEnd w:id="64"/>
    <w:bookmarkStart w:id="65"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
        </w:rPr>
        <w:t xml:space="preserve">Journal of Theoretical Biology</w:t>
      </w:r>
      <w:r>
        <w:t xml:space="preserve">, 110267.</w:t>
      </w:r>
    </w:p>
    <w:bookmarkEnd w:id="65"/>
    <w:bookmarkStart w:id="66"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
        </w:rPr>
        <w:t xml:space="preserve">PLoS ONE</w:t>
      </w:r>
      <w:r>
        <w:t xml:space="preserve"> </w:t>
      </w:r>
      <w:r>
        <w:t xml:space="preserve">11 (12): e0168176.</w:t>
      </w:r>
    </w:p>
    <w:bookmarkEnd w:id="66"/>
    <w:bookmarkStart w:id="67" w:name="ref-Myers:2006"/>
    <w:p>
      <w:pPr>
        <w:pStyle w:val="Bibliography"/>
      </w:pPr>
      <w:r>
        <w:t xml:space="preserve">Myers, P, R Espinosa, CS Parr, T Jones, GS Hammond, and TA Dewey. 2006.</w:t>
      </w:r>
      <w:r>
        <w:t xml:space="preserve"> </w:t>
      </w:r>
      <w:r>
        <w:t xml:space="preserve">“The Animal Diversity Web. University of Michigan.”</w:t>
      </w:r>
      <w:r>
        <w:t xml:space="preserve"> </w:t>
      </w:r>
      <w:r>
        <w:rPr>
          <w:i/>
        </w:rPr>
        <w:t xml:space="preserve">Ann Arbor. Available from Http://Animaldiversity. Ummz. Umich. Edu/Site/Index. Html (Accessed May 2010)</w:t>
      </w:r>
      <w:r>
        <w:t xml:space="preserve">.</w:t>
      </w:r>
    </w:p>
    <w:bookmarkEnd w:id="67"/>
    <w:bookmarkStart w:id="68"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
        </w:rPr>
        <w:t xml:space="preserve">Ecological Monographs</w:t>
      </w:r>
      <w:r>
        <w:t xml:space="preserve"> </w:t>
      </w:r>
      <w:r>
        <w:t xml:space="preserve">89 (2): e01344.</w:t>
      </w:r>
    </w:p>
    <w:bookmarkEnd w:id="68"/>
    <w:bookmarkStart w:id="70"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
        </w:rPr>
        <w:t xml:space="preserve">Movement Ecology</w:t>
      </w:r>
      <w:r>
        <w:t xml:space="preserve"> </w:t>
      </w:r>
      <w:r>
        <w:t xml:space="preserve">7 (1): 35.</w:t>
      </w:r>
      <w:r>
        <w:t xml:space="preserve"> </w:t>
      </w:r>
      <w:hyperlink r:id="rId69">
        <w:r>
          <w:rPr>
            <w:rStyle w:val="Hyperlink"/>
          </w:rPr>
          <w:t xml:space="preserve">https://doi.org/10.1186/s40462-019-0177-1</w:t>
        </w:r>
      </w:hyperlink>
      <w:r>
        <w:t xml:space="preserve">.</w:t>
      </w:r>
    </w:p>
    <w:bookmarkEnd w:id="70"/>
    <w:bookmarkStart w:id="71"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
        </w:rPr>
        <w:t xml:space="preserve">Nature Climate Change</w:t>
      </w:r>
      <w:r>
        <w:t xml:space="preserve"> </w:t>
      </w:r>
      <w:r>
        <w:t xml:space="preserve">9 (4): 323–29.</w:t>
      </w:r>
    </w:p>
    <w:bookmarkEnd w:id="71"/>
    <w:bookmarkStart w:id="73" w:name="ref-r_core_team_r_2021"/>
    <w:p>
      <w:pPr>
        <w:pStyle w:val="Bibliography"/>
      </w:pPr>
      <w:r>
        <w:t xml:space="preserve">R Core Team. 2021.</w:t>
      </w:r>
      <w:r>
        <w:t xml:space="preserve"> </w:t>
      </w:r>
      <w:r>
        <w:rPr>
          <w:i/>
        </w:rPr>
        <w:t xml:space="preserve">R:</w:t>
      </w:r>
      <w:r>
        <w:rPr>
          <w:i/>
        </w:rPr>
        <w:t xml:space="preserve"> </w:t>
      </w:r>
      <w:r>
        <w:rPr>
          <w:i/>
        </w:rPr>
        <w:t xml:space="preserve">A</w:t>
      </w:r>
      <w:r>
        <w:rPr>
          <w:i/>
        </w:rPr>
        <w:t xml:space="preserve"> </w:t>
      </w:r>
      <w:r>
        <w:rPr>
          <w:i/>
        </w:rPr>
        <w:t xml:space="preserve">Language</w:t>
      </w:r>
      <w:r>
        <w:rPr>
          <w:i/>
        </w:rPr>
        <w:t xml:space="preserve"> </w:t>
      </w:r>
      <w:r>
        <w:rPr>
          <w:i/>
        </w:rPr>
        <w:t xml:space="preserve">and</w:t>
      </w:r>
      <w:r>
        <w:rPr>
          <w:i/>
        </w:rPr>
        <w:t xml:space="preserve"> </w:t>
      </w:r>
      <w:r>
        <w:rPr>
          <w:i/>
        </w:rPr>
        <w:t xml:space="preserve">Environment</w:t>
      </w:r>
      <w:r>
        <w:rPr>
          <w:i/>
        </w:rPr>
        <w:t xml:space="preserve"> </w:t>
      </w:r>
      <w:r>
        <w:rPr>
          <w:i/>
        </w:rPr>
        <w:t xml:space="preserve">for</w:t>
      </w:r>
      <w:r>
        <w:rPr>
          <w:i/>
        </w:rPr>
        <w:t xml:space="preserve"> </w:t>
      </w:r>
      <w:r>
        <w:rPr>
          <w:i/>
        </w:rPr>
        <w:t xml:space="preserve">Statistical</w:t>
      </w:r>
      <w:r>
        <w:rPr>
          <w:i/>
        </w:rPr>
        <w:t xml:space="preserve"> </w:t>
      </w:r>
      <w:r>
        <w:rPr>
          <w:i/>
        </w:rPr>
        <w:t xml:space="preserve">Computing</w:t>
      </w:r>
      <w:r>
        <w:t xml:space="preserve">. Vienna, Austria: R Foundation for Statistical Computing.</w:t>
      </w:r>
      <w:r>
        <w:t xml:space="preserve"> </w:t>
      </w:r>
      <w:hyperlink r:id="rId72">
        <w:r>
          <w:rPr>
            <w:rStyle w:val="Hyperlink"/>
          </w:rPr>
          <w:t xml:space="preserve">https://www.R-project.org/</w:t>
        </w:r>
      </w:hyperlink>
      <w:r>
        <w:t xml:space="preserve">.</w:t>
      </w:r>
    </w:p>
    <w:bookmarkEnd w:id="73"/>
    <w:bookmarkStart w:id="74"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
        </w:rPr>
        <w:t xml:space="preserve">Ecology Letters</w:t>
      </w:r>
      <w:r>
        <w:t xml:space="preserve"> </w:t>
      </w:r>
      <w:r>
        <w:t xml:space="preserve">11 (12): 1338–50.</w:t>
      </w:r>
    </w:p>
    <w:bookmarkEnd w:id="74"/>
    <w:bookmarkStart w:id="75"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
        </w:rPr>
        <w:t xml:space="preserve">Diversity and Distributions</w:t>
      </w:r>
      <w:r>
        <w:t xml:space="preserve"> </w:t>
      </w:r>
      <w:r>
        <w:t xml:space="preserve">26 (3): 299–314.</w:t>
      </w:r>
    </w:p>
    <w:bookmarkEnd w:id="75"/>
    <w:bookmarkStart w:id="76"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
        </w:rPr>
        <w:t xml:space="preserve">Journal of Environmental Management</w:t>
      </w:r>
      <w:r>
        <w:t xml:space="preserve"> </w:t>
      </w:r>
      <w:r>
        <w:t xml:space="preserve">217: 690–99.</w:t>
      </w:r>
    </w:p>
    <w:bookmarkEnd w:id="76"/>
    <w:bookmarkStart w:id="77"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
        </w:rPr>
        <w:t xml:space="preserve">Science</w:t>
      </w:r>
      <w:r>
        <w:t xml:space="preserve"> </w:t>
      </w:r>
      <w:r>
        <w:t xml:space="preserve">359 (6374): 466–69.</w:t>
      </w:r>
    </w:p>
    <w:bookmarkEnd w:id="77"/>
    <w:bookmarkStart w:id="78"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
        </w:rPr>
        <w:t xml:space="preserve">Ecography</w:t>
      </w:r>
      <w:r>
        <w:t xml:space="preserve">.</w:t>
      </w:r>
    </w:p>
    <w:bookmarkEnd w:id="78"/>
    <w:bookmarkStart w:id="79"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
        </w:rPr>
        <w:t xml:space="preserve">The IUCN Red List of Threatened Species</w:t>
      </w:r>
      <w:r>
        <w:t xml:space="preserve">, 2020–21.</w:t>
      </w:r>
    </w:p>
    <w:bookmarkEnd w:id="79"/>
    <w:bookmarkStart w:id="81"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80">
        <w:r>
          <w:rPr>
            <w:rStyle w:val="Hyperlink"/>
          </w:rPr>
          <w:t xml:space="preserve">https://CRAN.R-project.org/package=furrr</w:t>
        </w:r>
      </w:hyperlink>
      <w:r>
        <w:t xml:space="preserve">.</w:t>
      </w:r>
    </w:p>
    <w:bookmarkEnd w:id="81"/>
    <w:bookmarkStart w:id="82"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
        </w:rPr>
        <w:t xml:space="preserve">BioScience</w:t>
      </w:r>
      <w:r>
        <w:t xml:space="preserve"> </w:t>
      </w:r>
      <w:r>
        <w:t xml:space="preserve">56 (11): 903–10.</w:t>
      </w:r>
    </w:p>
    <w:bookmarkEnd w:id="82"/>
    <w:bookmarkStart w:id="83" w:name="ref-Viechtbauer:2010"/>
    <w:p>
      <w:pPr>
        <w:pStyle w:val="Bibliography"/>
      </w:pPr>
      <w:r>
        <w:t xml:space="preserve">Viechtbauer, Wolfgang. 2010.</w:t>
      </w:r>
      <w:r>
        <w:t xml:space="preserve"> </w:t>
      </w:r>
      <w:r>
        <w:t xml:space="preserve">“Conducting Meta-Analyses in r with the Metafor Package.”</w:t>
      </w:r>
      <w:r>
        <w:t xml:space="preserve"> </w:t>
      </w:r>
      <w:r>
        <w:rPr>
          <w:i/>
        </w:rPr>
        <w:t xml:space="preserve">Journal of Statistical Software</w:t>
      </w:r>
      <w:r>
        <w:t xml:space="preserve"> </w:t>
      </w:r>
      <w:r>
        <w:t xml:space="preserve">36 (3): 1–48.</w:t>
      </w:r>
    </w:p>
    <w:bookmarkEnd w:id="83"/>
    <w:bookmarkStart w:id="84"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
        </w:rPr>
        <w:t xml:space="preserve">Current Biology</w:t>
      </w:r>
      <w:r>
        <w:t xml:space="preserve"> </w:t>
      </w:r>
      <w:r>
        <w:t xml:space="preserve">31 (11): 2437–45.</w:t>
      </w:r>
    </w:p>
    <w:bookmarkEnd w:id="84"/>
    <w:bookmarkStart w:id="86" w:name="ref-wickham_ggplot2_2016"/>
    <w:p>
      <w:pPr>
        <w:pStyle w:val="Bibliography"/>
      </w:pPr>
      <w:r>
        <w:t xml:space="preserve">Wickham, Hadley. 2016.</w:t>
      </w:r>
      <w:r>
        <w:t xml:space="preserve"> </w:t>
      </w:r>
      <w:r>
        <w:rPr>
          <w:i/>
        </w:rPr>
        <w:t xml:space="preserve">Ggplot2:</w:t>
      </w:r>
      <w:r>
        <w:rPr>
          <w:i/>
        </w:rPr>
        <w:t xml:space="preserve"> </w:t>
      </w:r>
      <w:r>
        <w:rPr>
          <w:i/>
        </w:rPr>
        <w:t xml:space="preserve">Elegant</w:t>
      </w:r>
      <w:r>
        <w:rPr>
          <w:i/>
        </w:rPr>
        <w:t xml:space="preserve"> </w:t>
      </w:r>
      <w:r>
        <w:rPr>
          <w:i/>
        </w:rPr>
        <w:t xml:space="preserve">Graphics</w:t>
      </w:r>
      <w:r>
        <w:rPr>
          <w:i/>
        </w:rPr>
        <w:t xml:space="preserve"> </w:t>
      </w:r>
      <w:r>
        <w:rPr>
          <w:i/>
        </w:rPr>
        <w:t xml:space="preserve">for</w:t>
      </w:r>
      <w:r>
        <w:rPr>
          <w:i/>
        </w:rPr>
        <w:t xml:space="preserve"> </w:t>
      </w:r>
      <w:r>
        <w:rPr>
          <w:i/>
        </w:rPr>
        <w:t xml:space="preserve">Data</w:t>
      </w:r>
      <w:r>
        <w:rPr>
          <w:i/>
        </w:rPr>
        <w:t xml:space="preserve"> </w:t>
      </w:r>
      <w:r>
        <w:rPr>
          <w:i/>
        </w:rPr>
        <w:t xml:space="preserve">Analysis</w:t>
      </w:r>
      <w:r>
        <w:t xml:space="preserve">. Springer-Verlag New York.</w:t>
      </w:r>
      <w:r>
        <w:t xml:space="preserve"> </w:t>
      </w:r>
      <w:hyperlink r:id="rId85">
        <w:r>
          <w:rPr>
            <w:rStyle w:val="Hyperlink"/>
          </w:rPr>
          <w:t xml:space="preserve">https://ggplot2.tidyverse.org</w:t>
        </w:r>
      </w:hyperlink>
      <w:r>
        <w:t xml:space="preserve">.</w:t>
      </w:r>
    </w:p>
    <w:bookmarkEnd w:id="86"/>
    <w:bookmarkStart w:id="87" w:name="ref-wood_generalized_2017"/>
    <w:p>
      <w:pPr>
        <w:pStyle w:val="Bibliography"/>
      </w:pPr>
      <w:r>
        <w:t xml:space="preserve">Wood, S. N. 2017.</w:t>
      </w:r>
      <w:r>
        <w:t xml:space="preserve"> </w:t>
      </w:r>
      <w:r>
        <w:rPr>
          <w:i/>
        </w:rPr>
        <w:t xml:space="preserve">Generalized</w:t>
      </w:r>
      <w:r>
        <w:rPr>
          <w:i/>
        </w:rPr>
        <w:t xml:space="preserve"> </w:t>
      </w:r>
      <w:r>
        <w:rPr>
          <w:i/>
        </w:rPr>
        <w:t xml:space="preserve">Additive</w:t>
      </w:r>
      <w:r>
        <w:rPr>
          <w:i/>
        </w:rPr>
        <w:t xml:space="preserve"> </w:t>
      </w:r>
      <w:r>
        <w:rPr>
          <w:i/>
        </w:rPr>
        <w:t xml:space="preserve">Models</w:t>
      </w:r>
      <w:r>
        <w:rPr>
          <w:i/>
        </w:rPr>
        <w:t xml:space="preserve">:</w:t>
      </w:r>
      <w:r>
        <w:rPr>
          <w:i/>
        </w:rPr>
        <w:t xml:space="preserve"> </w:t>
      </w:r>
      <w:r>
        <w:rPr>
          <w:i/>
        </w:rPr>
        <w:t xml:space="preserve">An</w:t>
      </w:r>
      <w:r>
        <w:rPr>
          <w:i/>
        </w:rPr>
        <w:t xml:space="preserve"> </w:t>
      </w:r>
      <w:r>
        <w:rPr>
          <w:i/>
        </w:rPr>
        <w:t xml:space="preserve">Introduction</w:t>
      </w:r>
      <w:r>
        <w:rPr>
          <w:i/>
        </w:rPr>
        <w:t xml:space="preserve"> </w:t>
      </w:r>
      <w:r>
        <w:rPr>
          <w:i/>
        </w:rPr>
        <w:t xml:space="preserve">with</w:t>
      </w:r>
      <w:r>
        <w:rPr>
          <w:i/>
        </w:rPr>
        <w:t xml:space="preserve"> </w:t>
      </w:r>
      <w:r>
        <w:rPr>
          <w:i/>
        </w:rPr>
        <w:t xml:space="preserve">R</w:t>
      </w:r>
      <w:r>
        <w:t xml:space="preserve">. 2nd ed. Chapman; Hall/CRC.</w:t>
      </w:r>
    </w:p>
    <w:bookmarkEnd w:id="87"/>
    <w:bookmarkEnd w:id="88"/>
    <w:bookmarkEnd w:id="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hyperlink" Id="rId80" Target="https://CRAN.R-project.org/package=furrr" TargetMode="External" /><Relationship Type="http://schemas.openxmlformats.org/officeDocument/2006/relationships/hyperlink" Id="rId59" Target="https://doi.org/10.1007/s00442-021-04967-y" TargetMode="External" /><Relationship Type="http://schemas.openxmlformats.org/officeDocument/2006/relationships/hyperlink" Id="rId52" Target="https://doi.org/10.1101/2020.06.12.130195" TargetMode="External" /><Relationship Type="http://schemas.openxmlformats.org/officeDocument/2006/relationships/hyperlink" Id="rId56" Target="https://doi.org/10.1111/2041-210X.13270" TargetMode="External" /><Relationship Type="http://schemas.openxmlformats.org/officeDocument/2006/relationships/hyperlink" Id="rId69" Target="https://doi.org/10.1186/s40462-019-0177-1" TargetMode="External" /><Relationship Type="http://schemas.openxmlformats.org/officeDocument/2006/relationships/hyperlink" Id="rId62" Target="https://doi.org/10.32614/RJ-2013-014" TargetMode="External" /><Relationship Type="http://schemas.openxmlformats.org/officeDocument/2006/relationships/hyperlink" Id="rId85" Target="https://ggplot2.tidyverse.org" TargetMode="External" /><Relationship Type="http://schemas.openxmlformats.org/officeDocument/2006/relationships/hyperlink" Id="rId25" Target="https://github.com/StefanoMezzini/tapirs" TargetMode="External" /><Relationship Type="http://schemas.openxmlformats.org/officeDocument/2006/relationships/hyperlink" Id="rId45" Target="https://github.com/ctmm-initiative/ctmm, https://groups.google.com/g/ctmm-user" TargetMode="External" /><Relationship Type="http://schemas.openxmlformats.org/officeDocument/2006/relationships/hyperlink" Id="rId72"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80" Target="https://CRAN.R-project.org/package=furrr" TargetMode="External" /><Relationship Type="http://schemas.openxmlformats.org/officeDocument/2006/relationships/hyperlink" Id="rId59" Target="https://doi.org/10.1007/s00442-021-04967-y" TargetMode="External" /><Relationship Type="http://schemas.openxmlformats.org/officeDocument/2006/relationships/hyperlink" Id="rId52" Target="https://doi.org/10.1101/2020.06.12.130195" TargetMode="External" /><Relationship Type="http://schemas.openxmlformats.org/officeDocument/2006/relationships/hyperlink" Id="rId56" Target="https://doi.org/10.1111/2041-210X.13270" TargetMode="External" /><Relationship Type="http://schemas.openxmlformats.org/officeDocument/2006/relationships/hyperlink" Id="rId69" Target="https://doi.org/10.1186/s40462-019-0177-1" TargetMode="External" /><Relationship Type="http://schemas.openxmlformats.org/officeDocument/2006/relationships/hyperlink" Id="rId62" Target="https://doi.org/10.32614/RJ-2013-014" TargetMode="External" /><Relationship Type="http://schemas.openxmlformats.org/officeDocument/2006/relationships/hyperlink" Id="rId85" Target="https://ggplot2.tidyverse.org" TargetMode="External" /><Relationship Type="http://schemas.openxmlformats.org/officeDocument/2006/relationships/hyperlink" Id="rId25" Target="https://github.com/StefanoMezzini/tapirs" TargetMode="External" /><Relationship Type="http://schemas.openxmlformats.org/officeDocument/2006/relationships/hyperlink" Id="rId45" Target="https://github.com/ctmm-initiative/ctmm, https://groups.google.com/g/ctmm-user" TargetMode="External" /><Relationship Type="http://schemas.openxmlformats.org/officeDocument/2006/relationships/hyperlink" Id="rId72"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MJ Noonan^1, S Mezzini^1, CH Fleming^{2,3}, JM Calabrese^{4,5,6}, EP Medici^{7*}</dc:creator>
  <cp:keywords/>
  <dcterms:created xsi:type="dcterms:W3CDTF">2021-07-01T00:42:32Z</dcterms:created>
  <dcterms:modified xsi:type="dcterms:W3CDTF">2021-07-01T00:42:32Z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